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7C600" w14:textId="77777777" w:rsidR="00384FD3" w:rsidRPr="00384FD3" w:rsidRDefault="00384FD3" w:rsidP="00BA6A5D">
      <w:pPr>
        <w:spacing w:after="0" w:line="276" w:lineRule="auto"/>
        <w:jc w:val="center"/>
        <w:rPr>
          <w:b/>
          <w:bCs/>
          <w:sz w:val="22"/>
          <w:szCs w:val="22"/>
          <w:lang w:val="it-IT"/>
        </w:rPr>
      </w:pPr>
      <w:r w:rsidRPr="00384FD3">
        <w:rPr>
          <w:b/>
          <w:bCs/>
          <w:sz w:val="22"/>
          <w:szCs w:val="22"/>
          <w:lang w:val="it-IT"/>
        </w:rPr>
        <w:t>REPUBBLICA ITALIANA</w:t>
      </w:r>
    </w:p>
    <w:p w14:paraId="6A93D0FA" w14:textId="77777777" w:rsidR="00384FD3" w:rsidRPr="00384FD3" w:rsidRDefault="00384FD3" w:rsidP="00BA6A5D">
      <w:pPr>
        <w:spacing w:after="0" w:line="276" w:lineRule="auto"/>
        <w:jc w:val="center"/>
        <w:rPr>
          <w:b/>
          <w:bCs/>
          <w:sz w:val="22"/>
          <w:szCs w:val="22"/>
          <w:lang w:val="it-IT"/>
        </w:rPr>
      </w:pPr>
      <w:r w:rsidRPr="00384FD3">
        <w:rPr>
          <w:b/>
          <w:bCs/>
          <w:sz w:val="22"/>
          <w:szCs w:val="22"/>
          <w:lang w:val="it-IT"/>
        </w:rPr>
        <w:t>IN NOME DEL POPOLO ITALIANO</w:t>
      </w:r>
    </w:p>
    <w:p w14:paraId="43C50500" w14:textId="77777777" w:rsidR="00384FD3" w:rsidRPr="00384FD3" w:rsidRDefault="00384FD3" w:rsidP="00BA6A5D">
      <w:pPr>
        <w:spacing w:after="0" w:line="276" w:lineRule="auto"/>
        <w:jc w:val="center"/>
        <w:rPr>
          <w:b/>
          <w:bCs/>
          <w:sz w:val="22"/>
          <w:szCs w:val="22"/>
          <w:lang w:val="it-IT"/>
        </w:rPr>
      </w:pPr>
      <w:r w:rsidRPr="00384FD3">
        <w:rPr>
          <w:b/>
          <w:bCs/>
          <w:sz w:val="22"/>
          <w:szCs w:val="22"/>
          <w:lang w:val="it-IT"/>
        </w:rPr>
        <w:t>LA CORTE SUPREMA DI CASSAZIONE</w:t>
      </w:r>
    </w:p>
    <w:p w14:paraId="785DA657" w14:textId="77777777" w:rsidR="00384FD3" w:rsidRPr="00384FD3" w:rsidRDefault="00384FD3" w:rsidP="00BA6A5D">
      <w:pPr>
        <w:spacing w:after="0" w:line="276" w:lineRule="auto"/>
        <w:jc w:val="center"/>
        <w:rPr>
          <w:b/>
          <w:bCs/>
          <w:sz w:val="22"/>
          <w:szCs w:val="22"/>
          <w:lang w:val="it-IT"/>
        </w:rPr>
      </w:pPr>
      <w:r w:rsidRPr="00384FD3">
        <w:rPr>
          <w:b/>
          <w:bCs/>
          <w:sz w:val="22"/>
          <w:szCs w:val="22"/>
          <w:lang w:val="it-IT"/>
        </w:rPr>
        <w:t>SEZIONE TERZA CIVILE</w:t>
      </w:r>
    </w:p>
    <w:p w14:paraId="3BC3538A" w14:textId="77777777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 xml:space="preserve">Composta dagli Ill.mi </w:t>
      </w:r>
      <w:proofErr w:type="spellStart"/>
      <w:r w:rsidRPr="00384FD3">
        <w:rPr>
          <w:sz w:val="22"/>
          <w:szCs w:val="22"/>
          <w:lang w:val="it-IT"/>
        </w:rPr>
        <w:t>Sigg.ri</w:t>
      </w:r>
      <w:proofErr w:type="spellEnd"/>
      <w:r w:rsidRPr="00384FD3">
        <w:rPr>
          <w:sz w:val="22"/>
          <w:szCs w:val="22"/>
          <w:lang w:val="it-IT"/>
        </w:rPr>
        <w:t xml:space="preserve"> Magistrati:</w:t>
      </w:r>
    </w:p>
    <w:p w14:paraId="4F689964" w14:textId="77777777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Dott. TRAVAGLINO Giacomo - Presidente</w:t>
      </w:r>
    </w:p>
    <w:p w14:paraId="7AD17D5F" w14:textId="77777777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Dott. SCODITTI Enrico - Consigliere</w:t>
      </w:r>
    </w:p>
    <w:p w14:paraId="51C3A2DE" w14:textId="77777777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Dott. GRAZIOSI Chiara - Consigliere</w:t>
      </w:r>
    </w:p>
    <w:p w14:paraId="594BF424" w14:textId="77777777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 xml:space="preserve">Dott. VINCENTI Enzo - Consigliere - </w:t>
      </w:r>
      <w:proofErr w:type="spellStart"/>
      <w:r w:rsidRPr="00384FD3">
        <w:rPr>
          <w:sz w:val="22"/>
          <w:szCs w:val="22"/>
          <w:lang w:val="it-IT"/>
        </w:rPr>
        <w:t>Rel</w:t>
      </w:r>
      <w:proofErr w:type="spellEnd"/>
      <w:r w:rsidRPr="00384FD3">
        <w:rPr>
          <w:sz w:val="22"/>
          <w:szCs w:val="22"/>
          <w:lang w:val="it-IT"/>
        </w:rPr>
        <w:t>.</w:t>
      </w:r>
    </w:p>
    <w:p w14:paraId="51E1EC95" w14:textId="77777777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Dott. CRICENTI Giuseppe - Consigliere</w:t>
      </w:r>
    </w:p>
    <w:p w14:paraId="633DF25C" w14:textId="77777777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ha pronunciato la seguente</w:t>
      </w:r>
    </w:p>
    <w:p w14:paraId="5A879248" w14:textId="77777777" w:rsidR="00384FD3" w:rsidRPr="00384FD3" w:rsidRDefault="00384FD3" w:rsidP="00BA6A5D">
      <w:pPr>
        <w:spacing w:after="0" w:line="276" w:lineRule="auto"/>
        <w:jc w:val="center"/>
        <w:rPr>
          <w:sz w:val="22"/>
          <w:szCs w:val="22"/>
          <w:lang w:val="it-IT"/>
        </w:rPr>
      </w:pPr>
      <w:r w:rsidRPr="00384FD3">
        <w:rPr>
          <w:b/>
          <w:bCs/>
          <w:sz w:val="22"/>
          <w:szCs w:val="22"/>
          <w:lang w:val="it-IT"/>
        </w:rPr>
        <w:t>SENTENZA</w:t>
      </w:r>
    </w:p>
    <w:p w14:paraId="1E03AC59" w14:textId="77777777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sul ricorso iscritto al n. 28059/2021 R.G. proposto da:</w:t>
      </w:r>
    </w:p>
    <w:p w14:paraId="60CCF51E" w14:textId="5921C77C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A.A., domiciliato ex lege in ROMA, PIAZZA CAVOUR presso la CANCELLERIA della CORTE di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CASSAZIONE, rappresentato e difeso dall'avv.to ...;</w:t>
      </w:r>
    </w:p>
    <w:p w14:paraId="31E472EA" w14:textId="77777777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- ricorrente -</w:t>
      </w:r>
    </w:p>
    <w:p w14:paraId="24194DE1" w14:textId="77777777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contro</w:t>
      </w:r>
    </w:p>
    <w:p w14:paraId="79CD8687" w14:textId="61FFBD1D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XYZ, in persona del legale rappresentante pro tempore, domiciliata ex lege in ROMA, PIAZZA</w:t>
      </w:r>
    </w:p>
    <w:p w14:paraId="4157A58B" w14:textId="5E27FBE6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CAVOUR presso la CANCELLERIA della CORTE di CASSAZIONE, rappresentata e difesa dagli avv.ti ...</w:t>
      </w:r>
    </w:p>
    <w:p w14:paraId="5A768F99" w14:textId="77777777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- controricorrente -</w:t>
      </w:r>
    </w:p>
    <w:p w14:paraId="116FD313" w14:textId="3BFF5D3D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 xml:space="preserve">avverso la SENTENZA della CORTE d'APPELLO di </w:t>
      </w:r>
      <w:r>
        <w:rPr>
          <w:sz w:val="22"/>
          <w:szCs w:val="22"/>
          <w:lang w:val="it-IT"/>
        </w:rPr>
        <w:t>...</w:t>
      </w:r>
      <w:r w:rsidRPr="00384FD3">
        <w:rPr>
          <w:sz w:val="22"/>
          <w:szCs w:val="22"/>
          <w:lang w:val="it-IT"/>
        </w:rPr>
        <w:t xml:space="preserve"> n. 2223/2021, depositata il 23/08/2021.</w:t>
      </w:r>
    </w:p>
    <w:p w14:paraId="0A01485D" w14:textId="0BA28E1C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Udita la relazione svolta nell'udienza pubblica del 26/02/2024 ...;</w:t>
      </w:r>
    </w:p>
    <w:p w14:paraId="6B17526B" w14:textId="038674D7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udito il Pubblico Ministero, ..., che ha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concluso per il rigetto del ricorso;</w:t>
      </w:r>
    </w:p>
    <w:p w14:paraId="78C1BD57" w14:textId="77218E34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uditi gli avvocati ....</w:t>
      </w:r>
    </w:p>
    <w:p w14:paraId="3B89B727" w14:textId="77777777" w:rsidR="00384FD3" w:rsidRPr="00384FD3" w:rsidRDefault="00384FD3" w:rsidP="00BA6A5D">
      <w:pPr>
        <w:spacing w:after="0" w:line="276" w:lineRule="auto"/>
        <w:jc w:val="center"/>
        <w:rPr>
          <w:b/>
          <w:bCs/>
          <w:sz w:val="22"/>
          <w:szCs w:val="22"/>
          <w:lang w:val="it-IT"/>
        </w:rPr>
      </w:pPr>
      <w:r w:rsidRPr="00384FD3">
        <w:rPr>
          <w:b/>
          <w:bCs/>
          <w:sz w:val="22"/>
          <w:szCs w:val="22"/>
          <w:lang w:val="it-IT"/>
        </w:rPr>
        <w:t>Svolgimento del processo</w:t>
      </w:r>
    </w:p>
    <w:p w14:paraId="458BA715" w14:textId="5FDC7280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1. - A.A. convenne in giudizio XYZ al fine di sentirla condannare al risarcimento di tutti i danni patiti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a seguito del decesso della figlia C.C., avvenuto in data 25 aprile 2004 presso la comunità di cura e di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ricovero psichiatrico XYZ; comunità nella quale C.C. era collocata in applicazione della misura di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sicurezza di cui all'art. 53 dell'Ordinamento penitenziario, soffrendo di gravi disturbi psichici tali da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renderla un pericolo per sé e per gli altri.</w:t>
      </w:r>
    </w:p>
    <w:p w14:paraId="19959DCF" w14:textId="77777777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1.1. - A sostegno della domanda l'attore dedusse che il decesso di C.C. - causato da un'accertata</w:t>
      </w:r>
    </w:p>
    <w:p w14:paraId="36CE5DAD" w14:textId="0398B69A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intossicazione farmacologica ricondotto alla volontaria assunzione di una dose eccessiva del farmaco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"</w:t>
      </w:r>
      <w:proofErr w:type="spellStart"/>
      <w:r w:rsidRPr="00384FD3">
        <w:rPr>
          <w:sz w:val="22"/>
          <w:szCs w:val="22"/>
          <w:lang w:val="it-IT"/>
        </w:rPr>
        <w:t>Disipal</w:t>
      </w:r>
      <w:proofErr w:type="spellEnd"/>
      <w:r w:rsidRPr="00384FD3">
        <w:rPr>
          <w:sz w:val="22"/>
          <w:szCs w:val="22"/>
          <w:lang w:val="it-IT"/>
        </w:rPr>
        <w:t>" - era da imputare alla violazione dei doveri di cura, vigilanza e controllo gravanti sulla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struttura di cura XYZ in ragione del rapporto intercorrente con la paziente psichiatrica.</w:t>
      </w:r>
    </w:p>
    <w:p w14:paraId="3EFFC706" w14:textId="6FDD2312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In particolare, la struttura si rese responsabile: a) dell'omessa vigilanza e controllo su C.C., essendosi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quest'ultima potuta procurare il medicinale letale o all'interno della medesima struttura ovvero presso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l'Ospedale di R dove era giunta - senza accompagnatore - alle ore 20:59 del 23 aprile 2004 con una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diagnosi di tentato suicidio per aver ingerito volontariamente schegge di vetro; b) dell'omessa vigilanza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su C.C. nella notte tra il 24 e il 25 aprile, durante la quale - così come anche confermato dalla paziente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con cui condivideva la stanza - quest'ultima avrebbe manifestato una chiara sintomatologia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riconducibile ad uno stato di overdose e che avrebbe richiesto un immediato intervento medico.</w:t>
      </w:r>
    </w:p>
    <w:p w14:paraId="25F2BF9A" w14:textId="476A9933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L'attore sostenne, quindi, che, ove la struttura convenuta avesse diligentemente ottemperato agli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obblighi nascenti dal contratto di cura, l'evento morte non si sarebbe verificato e ciò, sia perché in tal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 xml:space="preserve">modo C.C. non avrebbe potuto procurarsi il medicinale letale, sia perché un tempestivo </w:t>
      </w:r>
      <w:r w:rsidRPr="00384FD3">
        <w:rPr>
          <w:sz w:val="22"/>
          <w:szCs w:val="22"/>
          <w:lang w:val="it-IT"/>
        </w:rPr>
        <w:lastRenderedPageBreak/>
        <w:t>intervento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medico idoneo a consentire il superamento della fase acuta della overdose da farmaco avrebbe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impedito il decesso.</w:t>
      </w:r>
    </w:p>
    <w:p w14:paraId="06B9EA68" w14:textId="67F659AE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 xml:space="preserve">2. - La domanda venne rigettata dall'adito Tribunale </w:t>
      </w:r>
      <w:r>
        <w:rPr>
          <w:sz w:val="22"/>
          <w:szCs w:val="22"/>
          <w:lang w:val="it-IT"/>
        </w:rPr>
        <w:t>...</w:t>
      </w:r>
      <w:r w:rsidRPr="00384FD3">
        <w:rPr>
          <w:sz w:val="22"/>
          <w:szCs w:val="22"/>
          <w:lang w:val="it-IT"/>
        </w:rPr>
        <w:t xml:space="preserve"> con sentenza del giugno 2014, che A.A.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impugnava insistendo per la responsabilità di XYZ e rinnovando la richiesta, negata in primo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grado, di ammissione di C.T.U. volta ad accertare se un tempestivo intervento medico avesse potuto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impedire il decesso di C.C.</w:t>
      </w:r>
    </w:p>
    <w:p w14:paraId="44EE4BAB" w14:textId="2C52BB68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2.1. - La Corte d'appello</w:t>
      </w:r>
      <w:r>
        <w:rPr>
          <w:sz w:val="22"/>
          <w:szCs w:val="22"/>
          <w:lang w:val="it-IT"/>
        </w:rPr>
        <w:t xml:space="preserve"> ...</w:t>
      </w:r>
      <w:r w:rsidRPr="00384FD3">
        <w:rPr>
          <w:sz w:val="22"/>
          <w:szCs w:val="22"/>
          <w:lang w:val="it-IT"/>
        </w:rPr>
        <w:t>, ammessa la CTU richiesta dall'appellante, con sentenza resa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pubblica il 23 agosto 2021 rigettava il gravame confermando integralmente la sentenza di primo grado.</w:t>
      </w:r>
    </w:p>
    <w:p w14:paraId="36F20F16" w14:textId="4A69F09D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2.2. - La Corte territoriale, a fondamento della decisione, osservava in particolare che: a) non sussisteva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un obbligo di continuo monitoraggio nei giorni antecedenti alla morte di C.C., non essendo all'epoca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una paziente che necessitasse di un controllo costante, come confermato dal fatto che lo stesso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Magistrato di Sorveglianza aveva da poco rinnovato la misura di custodia che, ferma la permanenza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presso la casa di cura, le consentiva di muoversi liberamente presso la struttura e di allontanarsi dalla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stessa dalle 7.00 alle 22.00; b) la non necessità di "controllo costante" era da confermarsi anche alla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 xml:space="preserve">luce del comportamento degli ultimi due giorni di vita, non essendosi palesati </w:t>
      </w:r>
      <w:r>
        <w:rPr>
          <w:sz w:val="22"/>
          <w:szCs w:val="22"/>
          <w:lang w:val="it-IT"/>
        </w:rPr>
        <w:t>“</w:t>
      </w:r>
      <w:r w:rsidRPr="00384FD3">
        <w:rPr>
          <w:sz w:val="22"/>
          <w:szCs w:val="22"/>
          <w:lang w:val="it-IT"/>
        </w:rPr>
        <w:t>intenti suicidiari</w:t>
      </w:r>
      <w:r>
        <w:rPr>
          <w:sz w:val="22"/>
          <w:szCs w:val="22"/>
          <w:lang w:val="it-IT"/>
        </w:rPr>
        <w:t>”</w:t>
      </w:r>
      <w:r w:rsidRPr="00384FD3">
        <w:rPr>
          <w:sz w:val="22"/>
          <w:szCs w:val="22"/>
          <w:lang w:val="it-IT"/>
        </w:rPr>
        <w:t>,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 xml:space="preserve">poiché </w:t>
      </w:r>
      <w:r>
        <w:rPr>
          <w:sz w:val="22"/>
          <w:szCs w:val="22"/>
          <w:lang w:val="it-IT"/>
        </w:rPr>
        <w:t>“</w:t>
      </w:r>
      <w:r w:rsidRPr="00384FD3">
        <w:rPr>
          <w:sz w:val="22"/>
          <w:szCs w:val="22"/>
          <w:lang w:val="it-IT"/>
        </w:rPr>
        <w:t>anche l'ingestione del minuscolo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pezzetto di vetro, peraltro immediatamente denunciato, va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intesa nell'ottica di incentrare l'attenzione su di sé e non certo in vista di un'autosoppressione</w:t>
      </w:r>
      <w:r>
        <w:rPr>
          <w:sz w:val="22"/>
          <w:szCs w:val="22"/>
          <w:lang w:val="it-IT"/>
        </w:rPr>
        <w:t>”</w:t>
      </w:r>
      <w:r w:rsidRPr="00384FD3">
        <w:rPr>
          <w:sz w:val="22"/>
          <w:szCs w:val="22"/>
          <w:lang w:val="it-IT"/>
        </w:rPr>
        <w:t>; c)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 xml:space="preserve">essendovi stati plurimi accessi a due diversi Ospedali, </w:t>
      </w:r>
      <w:r>
        <w:rPr>
          <w:sz w:val="22"/>
          <w:szCs w:val="22"/>
          <w:lang w:val="it-IT"/>
        </w:rPr>
        <w:t>“</w:t>
      </w:r>
      <w:r w:rsidRPr="00384FD3">
        <w:rPr>
          <w:sz w:val="22"/>
          <w:szCs w:val="22"/>
          <w:lang w:val="it-IT"/>
        </w:rPr>
        <w:t>su chiamata di XYZ</w:t>
      </w:r>
      <w:r>
        <w:rPr>
          <w:sz w:val="22"/>
          <w:szCs w:val="22"/>
          <w:lang w:val="it-IT"/>
        </w:rPr>
        <w:t>”</w:t>
      </w:r>
      <w:r w:rsidRPr="00384FD3">
        <w:rPr>
          <w:sz w:val="22"/>
          <w:szCs w:val="22"/>
          <w:lang w:val="it-IT"/>
        </w:rPr>
        <w:t>, era evidente che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 xml:space="preserve">quest'ultima si era </w:t>
      </w:r>
      <w:r>
        <w:rPr>
          <w:sz w:val="22"/>
          <w:szCs w:val="22"/>
          <w:lang w:val="it-IT"/>
        </w:rPr>
        <w:t>“</w:t>
      </w:r>
      <w:r w:rsidRPr="00384FD3">
        <w:rPr>
          <w:sz w:val="22"/>
          <w:szCs w:val="22"/>
          <w:lang w:val="it-IT"/>
        </w:rPr>
        <w:t>attivata prontamente per assistere C.C.</w:t>
      </w:r>
      <w:r>
        <w:rPr>
          <w:sz w:val="22"/>
          <w:szCs w:val="22"/>
          <w:lang w:val="it-IT"/>
        </w:rPr>
        <w:t>”</w:t>
      </w:r>
      <w:r w:rsidRPr="00384FD3">
        <w:rPr>
          <w:sz w:val="22"/>
          <w:szCs w:val="22"/>
          <w:lang w:val="it-IT"/>
        </w:rPr>
        <w:t xml:space="preserve"> e gli esiti degli esami ivi effettuati non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 xml:space="preserve">erano stati </w:t>
      </w:r>
      <w:r>
        <w:rPr>
          <w:sz w:val="22"/>
          <w:szCs w:val="22"/>
          <w:lang w:val="it-IT"/>
        </w:rPr>
        <w:t>“</w:t>
      </w:r>
      <w:r w:rsidRPr="00384FD3">
        <w:rPr>
          <w:sz w:val="22"/>
          <w:szCs w:val="22"/>
          <w:lang w:val="it-IT"/>
        </w:rPr>
        <w:t>così gravi da far sì che sul personale di XYZ dovessero sorgere particolari oneri di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vigilanza nei confronti della paziente</w:t>
      </w:r>
      <w:r>
        <w:rPr>
          <w:sz w:val="22"/>
          <w:szCs w:val="22"/>
          <w:lang w:val="it-IT"/>
        </w:rPr>
        <w:t>”</w:t>
      </w:r>
      <w:r w:rsidRPr="00384FD3">
        <w:rPr>
          <w:sz w:val="22"/>
          <w:szCs w:val="22"/>
          <w:lang w:val="it-IT"/>
        </w:rPr>
        <w:t>, non emergendo, poi, dai referti che C.C. fosse in pericolo di vita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 xml:space="preserve">o che avesse </w:t>
      </w:r>
      <w:r>
        <w:rPr>
          <w:sz w:val="22"/>
          <w:szCs w:val="22"/>
          <w:lang w:val="it-IT"/>
        </w:rPr>
        <w:t>“</w:t>
      </w:r>
      <w:r w:rsidRPr="00384FD3">
        <w:rPr>
          <w:sz w:val="22"/>
          <w:szCs w:val="22"/>
          <w:lang w:val="it-IT"/>
        </w:rPr>
        <w:t>assunto dosi eccessive di medicinali o comunque altre patologie, tale da dover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richiedere una costante vigilanza sulla stessa</w:t>
      </w:r>
      <w:r>
        <w:rPr>
          <w:sz w:val="22"/>
          <w:szCs w:val="22"/>
          <w:lang w:val="it-IT"/>
        </w:rPr>
        <w:t>”</w:t>
      </w:r>
      <w:r w:rsidRPr="00384FD3">
        <w:rPr>
          <w:sz w:val="22"/>
          <w:szCs w:val="22"/>
          <w:lang w:val="it-IT"/>
        </w:rPr>
        <w:t>; d) anche nella notte dell'avvenuto decesso era assente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un obbligo di continuo monitoraggio, essendo stata C.C. - nell'arco dei tre ricoveri ospedalieri cui era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 xml:space="preserve">stata sottoposta nei due giorni precedenti la morte - sempre dimessa con </w:t>
      </w:r>
      <w:r>
        <w:rPr>
          <w:sz w:val="22"/>
          <w:szCs w:val="22"/>
          <w:lang w:val="it-IT"/>
        </w:rPr>
        <w:t>“</w:t>
      </w:r>
      <w:r w:rsidRPr="00384FD3">
        <w:rPr>
          <w:sz w:val="22"/>
          <w:szCs w:val="22"/>
          <w:lang w:val="it-IT"/>
        </w:rPr>
        <w:t>diagnosi rassicuranti</w:t>
      </w:r>
      <w:r>
        <w:rPr>
          <w:sz w:val="22"/>
          <w:szCs w:val="22"/>
          <w:lang w:val="it-IT"/>
        </w:rPr>
        <w:t>”</w:t>
      </w:r>
      <w:r w:rsidRPr="00384FD3">
        <w:rPr>
          <w:sz w:val="22"/>
          <w:szCs w:val="22"/>
          <w:lang w:val="it-IT"/>
        </w:rPr>
        <w:t xml:space="preserve">, </w:t>
      </w:r>
      <w:r>
        <w:rPr>
          <w:sz w:val="22"/>
          <w:szCs w:val="22"/>
          <w:lang w:val="it-IT"/>
        </w:rPr>
        <w:t>“</w:t>
      </w:r>
      <w:r w:rsidRPr="00384FD3">
        <w:rPr>
          <w:sz w:val="22"/>
          <w:szCs w:val="22"/>
          <w:lang w:val="it-IT"/>
        </w:rPr>
        <w:t>né i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(suoi) successivi comportamenti, sostanzialmente analoghi a quelli che avevano suggerito i ricoveri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ospedalieri potevano fare ragionevolmente supporre lo sviluppo letale della vicenda ed indurre un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monitoraggio più accurato e costante (...)</w:t>
      </w:r>
      <w:r>
        <w:rPr>
          <w:sz w:val="22"/>
          <w:szCs w:val="22"/>
          <w:lang w:val="it-IT"/>
        </w:rPr>
        <w:t>”</w:t>
      </w:r>
      <w:r w:rsidRPr="00384FD3">
        <w:rPr>
          <w:sz w:val="22"/>
          <w:szCs w:val="22"/>
          <w:lang w:val="it-IT"/>
        </w:rPr>
        <w:t>; e) inoltre, alla luce delle condivisibili risultanze della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 xml:space="preserve">espletata CTU, era </w:t>
      </w:r>
      <w:r>
        <w:rPr>
          <w:sz w:val="22"/>
          <w:szCs w:val="22"/>
          <w:lang w:val="it-IT"/>
        </w:rPr>
        <w:t>“</w:t>
      </w:r>
      <w:r w:rsidRPr="00384FD3">
        <w:rPr>
          <w:sz w:val="22"/>
          <w:szCs w:val="22"/>
          <w:lang w:val="it-IT"/>
        </w:rPr>
        <w:t>impossibile stabilire la concreta possibilità di intervenire dal punto di vista medico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 xml:space="preserve">per eliminare gli effetti dell'intossicazione e, quindi, tentare di </w:t>
      </w:r>
      <w:proofErr w:type="spellStart"/>
      <w:r w:rsidRPr="00384FD3">
        <w:rPr>
          <w:sz w:val="22"/>
          <w:szCs w:val="22"/>
          <w:lang w:val="it-IT"/>
        </w:rPr>
        <w:t>evitarel'esito</w:t>
      </w:r>
      <w:proofErr w:type="spellEnd"/>
      <w:r w:rsidRPr="00384FD3">
        <w:rPr>
          <w:sz w:val="22"/>
          <w:szCs w:val="22"/>
          <w:lang w:val="it-IT"/>
        </w:rPr>
        <w:t xml:space="preserve"> mortale</w:t>
      </w:r>
      <w:r>
        <w:rPr>
          <w:sz w:val="22"/>
          <w:szCs w:val="22"/>
          <w:lang w:val="it-IT"/>
        </w:rPr>
        <w:t>”</w:t>
      </w:r>
      <w:r w:rsidRPr="00384FD3">
        <w:rPr>
          <w:sz w:val="22"/>
          <w:szCs w:val="22"/>
          <w:lang w:val="it-IT"/>
        </w:rPr>
        <w:t xml:space="preserve"> (ossia di</w:t>
      </w:r>
      <w:r>
        <w:rPr>
          <w:sz w:val="22"/>
          <w:szCs w:val="22"/>
          <w:lang w:val="it-IT"/>
        </w:rPr>
        <w:t xml:space="preserve"> “</w:t>
      </w:r>
      <w:r w:rsidRPr="00384FD3">
        <w:rPr>
          <w:sz w:val="22"/>
          <w:szCs w:val="22"/>
          <w:lang w:val="it-IT"/>
        </w:rPr>
        <w:t>procurare vomito o effettuare una lavanda gastrica e quindi cercare di far superare la fase acuta al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paziente mediante assistenza polmonare e cardiovascolare</w:t>
      </w:r>
      <w:r>
        <w:rPr>
          <w:sz w:val="22"/>
          <w:szCs w:val="22"/>
          <w:lang w:val="it-IT"/>
        </w:rPr>
        <w:t>”</w:t>
      </w:r>
      <w:r w:rsidRPr="00384FD3">
        <w:rPr>
          <w:sz w:val="22"/>
          <w:szCs w:val="22"/>
          <w:lang w:val="it-IT"/>
        </w:rPr>
        <w:t xml:space="preserve">) e ciò in quanto non si poteva </w:t>
      </w:r>
      <w:r>
        <w:rPr>
          <w:sz w:val="22"/>
          <w:szCs w:val="22"/>
          <w:lang w:val="it-IT"/>
        </w:rPr>
        <w:t>“</w:t>
      </w:r>
      <w:r w:rsidRPr="00384FD3">
        <w:rPr>
          <w:sz w:val="22"/>
          <w:szCs w:val="22"/>
          <w:lang w:val="it-IT"/>
        </w:rPr>
        <w:t>riuscire a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 xml:space="preserve">discernere, con rigoroso criterio aprioristico, i sintomi da intossicazione acuta da </w:t>
      </w:r>
      <w:proofErr w:type="spellStart"/>
      <w:r w:rsidRPr="00384FD3">
        <w:rPr>
          <w:sz w:val="22"/>
          <w:szCs w:val="22"/>
          <w:lang w:val="it-IT"/>
        </w:rPr>
        <w:t>Orfenadrina</w:t>
      </w:r>
      <w:proofErr w:type="spellEnd"/>
      <w:r w:rsidRPr="00384FD3">
        <w:rPr>
          <w:sz w:val="22"/>
          <w:szCs w:val="22"/>
          <w:lang w:val="it-IT"/>
        </w:rPr>
        <w:t xml:space="preserve"> rispetto a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quelli determinati dalla patologia di cui soffriva C.C. e a quelli indotti dagli altri farmaci che le venivano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contemporaneamente somministrati per curare detta psico</w:t>
      </w:r>
      <w:r>
        <w:rPr>
          <w:sz w:val="22"/>
          <w:szCs w:val="22"/>
          <w:lang w:val="it-IT"/>
        </w:rPr>
        <w:t>–</w:t>
      </w:r>
      <w:r w:rsidRPr="00384FD3">
        <w:rPr>
          <w:sz w:val="22"/>
          <w:szCs w:val="22"/>
          <w:lang w:val="it-IT"/>
        </w:rPr>
        <w:t>patologia</w:t>
      </w:r>
      <w:r>
        <w:rPr>
          <w:sz w:val="22"/>
          <w:szCs w:val="22"/>
          <w:lang w:val="it-IT"/>
        </w:rPr>
        <w:t>”</w:t>
      </w:r>
      <w:r w:rsidRPr="00384FD3">
        <w:rPr>
          <w:sz w:val="22"/>
          <w:szCs w:val="22"/>
          <w:lang w:val="it-IT"/>
        </w:rPr>
        <w:t>.</w:t>
      </w:r>
    </w:p>
    <w:p w14:paraId="7F398259" w14:textId="77777777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3. - Per la cassazione di tale sentenza ricorre A.A., affidando le sorti della impugnazione a tre motivi.</w:t>
      </w:r>
    </w:p>
    <w:p w14:paraId="5C4A9BD9" w14:textId="1A6B8CE4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Resiste con controricorso XYZ</w:t>
      </w:r>
    </w:p>
    <w:p w14:paraId="3549B610" w14:textId="77777777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4. - In prossimità dell'udienza pubblica hanno depositato memoria entrambe le parti.</w:t>
      </w:r>
    </w:p>
    <w:p w14:paraId="67DA62AB" w14:textId="3E69EFBD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 xml:space="preserve">Anche il </w:t>
      </w:r>
      <w:r>
        <w:rPr>
          <w:sz w:val="22"/>
          <w:szCs w:val="22"/>
          <w:lang w:val="it-IT"/>
        </w:rPr>
        <w:t>P.M.</w:t>
      </w:r>
      <w:r w:rsidRPr="00384FD3">
        <w:rPr>
          <w:sz w:val="22"/>
          <w:szCs w:val="22"/>
          <w:lang w:val="it-IT"/>
        </w:rPr>
        <w:t xml:space="preserve"> ha depositato memoria con la quale ha chiesto che il ricorso sia rigettato.</w:t>
      </w:r>
    </w:p>
    <w:p w14:paraId="400838AD" w14:textId="77777777" w:rsidR="00384FD3" w:rsidRPr="00384FD3" w:rsidRDefault="00384FD3" w:rsidP="00BA6A5D">
      <w:pPr>
        <w:spacing w:after="0" w:line="276" w:lineRule="auto"/>
        <w:jc w:val="center"/>
        <w:rPr>
          <w:b/>
          <w:bCs/>
          <w:sz w:val="22"/>
          <w:szCs w:val="22"/>
          <w:lang w:val="it-IT"/>
        </w:rPr>
      </w:pPr>
      <w:r w:rsidRPr="00384FD3">
        <w:rPr>
          <w:b/>
          <w:bCs/>
          <w:sz w:val="22"/>
          <w:szCs w:val="22"/>
          <w:lang w:val="it-IT"/>
        </w:rPr>
        <w:t>Motivi della decisione</w:t>
      </w:r>
    </w:p>
    <w:p w14:paraId="602B48AB" w14:textId="54563B44" w:rsid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 xml:space="preserve">1. - Con il primo mezzo è denunciata, ai sensi dell'art. 360, primo comma, n. 3, c.p.c., </w:t>
      </w:r>
      <w:r>
        <w:rPr>
          <w:sz w:val="22"/>
          <w:szCs w:val="22"/>
          <w:lang w:val="it-IT"/>
        </w:rPr>
        <w:t>v</w:t>
      </w:r>
      <w:r w:rsidRPr="00384FD3">
        <w:rPr>
          <w:sz w:val="22"/>
          <w:szCs w:val="22"/>
          <w:lang w:val="it-IT"/>
        </w:rPr>
        <w:t>iolazione o falsa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applicazione degli artt. 2043 e/o 2059, 1218 c.c., per aver la Corte territoriale erroneamente escluso la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responsabilità di XYZ nonostante che la stessa fosse incorsa nella violazione di specifici obblighi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 xml:space="preserve">di vigilanza (avendo C.C., nonostante essere stata affidata alla Comunità XYZ, </w:t>
      </w:r>
      <w:r>
        <w:rPr>
          <w:sz w:val="22"/>
          <w:szCs w:val="22"/>
          <w:lang w:val="it-IT"/>
        </w:rPr>
        <w:t>“</w:t>
      </w:r>
      <w:r w:rsidRPr="00384FD3">
        <w:rPr>
          <w:sz w:val="22"/>
          <w:szCs w:val="22"/>
          <w:lang w:val="it-IT"/>
        </w:rPr>
        <w:t>potuto procurarsi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 xml:space="preserve">ed ingerire una quantità di farmaco </w:t>
      </w:r>
      <w:proofErr w:type="spellStart"/>
      <w:r w:rsidRPr="00384FD3">
        <w:rPr>
          <w:sz w:val="22"/>
          <w:szCs w:val="22"/>
          <w:lang w:val="it-IT"/>
        </w:rPr>
        <w:t>Disipal</w:t>
      </w:r>
      <w:proofErr w:type="spellEnd"/>
      <w:r w:rsidRPr="00384FD3">
        <w:rPr>
          <w:sz w:val="22"/>
          <w:szCs w:val="22"/>
          <w:lang w:val="it-IT"/>
        </w:rPr>
        <w:t xml:space="preserve"> tale da provocarne una </w:t>
      </w:r>
      <w:r w:rsidRPr="00384FD3">
        <w:rPr>
          <w:sz w:val="22"/>
          <w:szCs w:val="22"/>
          <w:lang w:val="it-IT"/>
        </w:rPr>
        <w:lastRenderedPageBreak/>
        <w:t>intossicazione acuta") e di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assistenza (non essendo alcuno</w:t>
      </w:r>
      <w:r>
        <w:rPr>
          <w:sz w:val="22"/>
          <w:szCs w:val="22"/>
          <w:lang w:val="it-IT"/>
        </w:rPr>
        <w:t xml:space="preserve"> “</w:t>
      </w:r>
      <w:r w:rsidRPr="00384FD3">
        <w:rPr>
          <w:sz w:val="22"/>
          <w:szCs w:val="22"/>
          <w:lang w:val="it-IT"/>
        </w:rPr>
        <w:t>intervenuto nel periodo tra le 23,00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del 24 aprile 2004 e le 4,00 del 25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aprile 2004, momento della morte di C.C., per monitorarne da vicino lo stato di salute dopo gli eventi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occorsi nei giorni e nelle ore precedenti</w:t>
      </w:r>
      <w:r>
        <w:rPr>
          <w:sz w:val="22"/>
          <w:szCs w:val="22"/>
          <w:lang w:val="it-IT"/>
        </w:rPr>
        <w:t>”</w:t>
      </w:r>
      <w:r w:rsidRPr="00384FD3">
        <w:rPr>
          <w:sz w:val="22"/>
          <w:szCs w:val="22"/>
          <w:lang w:val="it-IT"/>
        </w:rPr>
        <w:t>), discendenti dalla presa in cura della paziente.</w:t>
      </w:r>
      <w:r>
        <w:rPr>
          <w:sz w:val="22"/>
          <w:szCs w:val="22"/>
          <w:lang w:val="it-IT"/>
        </w:rPr>
        <w:t xml:space="preserve"> </w:t>
      </w:r>
    </w:p>
    <w:p w14:paraId="4A832473" w14:textId="7705FD03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Il ricorrente sostiene che la responsabilità civile di XYZ Srl va ricondotta al modello contrattuale di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cui all'art. 1218 c.c., spettando, quindi, alla struttura l'onere di fornire la prova di aver posto in essere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tutte le misure necessarie per impedire l'evento nefasto; onere che, nella specie, la società convenuta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non avrebbe assolto.</w:t>
      </w:r>
    </w:p>
    <w:p w14:paraId="08D9B942" w14:textId="4C9468D3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2. - Con il secondo mezzo è prospettata, in relazione all'art. 360, primo comma, n. 3, c.p.c., violazione o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falsa applicazione degli artt. 2043 e/o 2059, 1218 c.c., per avere la Corte territoriale erroneamente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ritenuto insussistente in capo alla struttura uno specifico obbligo di sorveglianza e di controllo su C.C.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nella notte tra il 24 e il 25 aprile 2004.</w:t>
      </w:r>
    </w:p>
    <w:p w14:paraId="10BDE6BF" w14:textId="365BEF62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 xml:space="preserve">Il ricorrente, argomentando sull'assoluto deficit di controllo e di </w:t>
      </w:r>
      <w:r>
        <w:rPr>
          <w:sz w:val="22"/>
          <w:szCs w:val="22"/>
          <w:lang w:val="it-IT"/>
        </w:rPr>
        <w:t>“</w:t>
      </w:r>
      <w:r w:rsidRPr="00384FD3">
        <w:rPr>
          <w:sz w:val="22"/>
          <w:szCs w:val="22"/>
          <w:lang w:val="it-IT"/>
        </w:rPr>
        <w:t>attenzione terapeutica</w:t>
      </w:r>
      <w:r>
        <w:rPr>
          <w:sz w:val="22"/>
          <w:szCs w:val="22"/>
          <w:lang w:val="it-IT"/>
        </w:rPr>
        <w:t>”</w:t>
      </w:r>
      <w:r w:rsidRPr="00384FD3">
        <w:rPr>
          <w:sz w:val="22"/>
          <w:szCs w:val="22"/>
          <w:lang w:val="it-IT"/>
        </w:rPr>
        <w:t xml:space="preserve"> da parte di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XYZ nella anzidetta notte, sostiene che, a seguito delle vicende verificatesi nei due giorni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antecedenti la morte, che avevano portato al ricovero di C.C. per ben tre volte in ospedale, sulla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 xml:space="preserve">struttura stessa gravava un </w:t>
      </w:r>
      <w:r>
        <w:rPr>
          <w:sz w:val="22"/>
          <w:szCs w:val="22"/>
          <w:lang w:val="it-IT"/>
        </w:rPr>
        <w:t>“</w:t>
      </w:r>
      <w:r w:rsidRPr="00384FD3">
        <w:rPr>
          <w:sz w:val="22"/>
          <w:szCs w:val="22"/>
          <w:lang w:val="it-IT"/>
        </w:rPr>
        <w:t>concreto obbligo specifico di garanzia della salute e della vita</w:t>
      </w:r>
      <w:r>
        <w:rPr>
          <w:sz w:val="22"/>
          <w:szCs w:val="22"/>
          <w:lang w:val="it-IT"/>
        </w:rPr>
        <w:t>”</w:t>
      </w:r>
      <w:r w:rsidRPr="00384FD3">
        <w:rPr>
          <w:sz w:val="22"/>
          <w:szCs w:val="22"/>
          <w:lang w:val="it-IT"/>
        </w:rPr>
        <w:t xml:space="preserve"> della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paziente, che avrebbe dovuto comportare un controllo e un'attenz</w:t>
      </w:r>
      <w:r>
        <w:rPr>
          <w:sz w:val="22"/>
          <w:szCs w:val="22"/>
          <w:lang w:val="it-IT"/>
        </w:rPr>
        <w:t>i</w:t>
      </w:r>
      <w:r w:rsidRPr="00384FD3">
        <w:rPr>
          <w:sz w:val="22"/>
          <w:szCs w:val="22"/>
          <w:lang w:val="it-IT"/>
        </w:rPr>
        <w:t>one più pregnanti, essendo l'evento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 xml:space="preserve">letale (in ragione dell'evidente peggioramento delle condizioni di salute di C.C.) </w:t>
      </w:r>
      <w:r>
        <w:rPr>
          <w:sz w:val="22"/>
          <w:szCs w:val="22"/>
          <w:lang w:val="it-IT"/>
        </w:rPr>
        <w:t>“</w:t>
      </w:r>
      <w:r w:rsidRPr="00384FD3">
        <w:rPr>
          <w:sz w:val="22"/>
          <w:szCs w:val="22"/>
          <w:lang w:val="it-IT"/>
        </w:rPr>
        <w:t>sotto il profilo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soggettivo e oggettivo, assolutamente prevedibile</w:t>
      </w:r>
      <w:r>
        <w:rPr>
          <w:sz w:val="22"/>
          <w:szCs w:val="22"/>
          <w:lang w:val="it-IT"/>
        </w:rPr>
        <w:t>”</w:t>
      </w:r>
      <w:r w:rsidRPr="00384FD3">
        <w:rPr>
          <w:sz w:val="22"/>
          <w:szCs w:val="22"/>
          <w:lang w:val="it-IT"/>
        </w:rPr>
        <w:t>.</w:t>
      </w:r>
    </w:p>
    <w:p w14:paraId="1194EED0" w14:textId="16EAE00A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3. - Con il terzo mezzo è prospettato, in relazione all'art. 360, primo comma, n. 5, c.p.c., omesso esame di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un fatto decisivo per il giudizio, avendo la Corte territoriale mancato di esaminare il fatto concernente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l'omessa vigilanza dell'infermiere di turno e l'omesso intervento del medico di turno nella notte tra il 24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e il 25 aprile 2004.</w:t>
      </w:r>
    </w:p>
    <w:p w14:paraId="2E6C1EB1" w14:textId="24813515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Il ricorrente evidenzia, in particolare, che l'infermiere di turno avrebbe dovuto,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in ottemperanza agli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obblighi di vigilanza e di assistenza gravanti sullo stesso, controllare di persona lo stato di salute di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 xml:space="preserve">C.C. </w:t>
      </w:r>
      <w:r>
        <w:rPr>
          <w:sz w:val="22"/>
          <w:szCs w:val="22"/>
          <w:lang w:val="it-IT"/>
        </w:rPr>
        <w:t>“</w:t>
      </w:r>
      <w:r w:rsidRPr="00384FD3">
        <w:rPr>
          <w:sz w:val="22"/>
          <w:szCs w:val="22"/>
          <w:lang w:val="it-IT"/>
        </w:rPr>
        <w:t>aprendo la porta</w:t>
      </w:r>
      <w:r>
        <w:rPr>
          <w:sz w:val="22"/>
          <w:szCs w:val="22"/>
          <w:lang w:val="it-IT"/>
        </w:rPr>
        <w:t>”</w:t>
      </w:r>
      <w:r w:rsidRPr="00384FD3">
        <w:rPr>
          <w:sz w:val="22"/>
          <w:szCs w:val="22"/>
          <w:lang w:val="it-IT"/>
        </w:rPr>
        <w:t xml:space="preserve"> della stanza dove la stessa era ricoverata, </w:t>
      </w:r>
      <w:r>
        <w:rPr>
          <w:sz w:val="22"/>
          <w:szCs w:val="22"/>
          <w:lang w:val="it-IT"/>
        </w:rPr>
        <w:t>“</w:t>
      </w:r>
      <w:r w:rsidRPr="00384FD3">
        <w:rPr>
          <w:sz w:val="22"/>
          <w:szCs w:val="22"/>
          <w:lang w:val="it-IT"/>
        </w:rPr>
        <w:t>al fine di verificare se una paziente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che ha manifestato intenti suicidiari stia russando o abbia gravi difficoltà respiratorie</w:t>
      </w:r>
      <w:r>
        <w:rPr>
          <w:sz w:val="22"/>
          <w:szCs w:val="22"/>
          <w:lang w:val="it-IT"/>
        </w:rPr>
        <w:t>”</w:t>
      </w:r>
      <w:r w:rsidRPr="00384FD3">
        <w:rPr>
          <w:sz w:val="22"/>
          <w:szCs w:val="22"/>
          <w:lang w:val="it-IT"/>
        </w:rPr>
        <w:t>; pertanto, non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esonererebbe da responsabilità a carico della struttura la circostanza che l'infermiere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di turno, durante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la sua attività di ispezione notturna, non avrebbe sentito la paziente manifestare disagio, quanto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 xml:space="preserve">piuttosto soltanto un </w:t>
      </w:r>
      <w:r>
        <w:rPr>
          <w:sz w:val="22"/>
          <w:szCs w:val="22"/>
          <w:lang w:val="it-IT"/>
        </w:rPr>
        <w:t>“</w:t>
      </w:r>
      <w:r w:rsidRPr="00384FD3">
        <w:rPr>
          <w:sz w:val="22"/>
          <w:szCs w:val="22"/>
          <w:lang w:val="it-IT"/>
        </w:rPr>
        <w:t>forte russare</w:t>
      </w:r>
      <w:r>
        <w:rPr>
          <w:sz w:val="22"/>
          <w:szCs w:val="22"/>
          <w:lang w:val="it-IT"/>
        </w:rPr>
        <w:t>”</w:t>
      </w:r>
      <w:r w:rsidRPr="00384FD3">
        <w:rPr>
          <w:sz w:val="22"/>
          <w:szCs w:val="22"/>
          <w:lang w:val="it-IT"/>
        </w:rPr>
        <w:t xml:space="preserve"> (come da quest'ultimo dichiarato nel corso del giudizio).</w:t>
      </w:r>
    </w:p>
    <w:p w14:paraId="04E23715" w14:textId="77777777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4. - Il primo motivo è in parte infondato e in parte inammissibile.</w:t>
      </w:r>
    </w:p>
    <w:p w14:paraId="653B48A4" w14:textId="4096FF2C" w:rsidR="00384FD3" w:rsidRPr="00384FD3" w:rsidRDefault="00384FD3" w:rsidP="00BA6A5D">
      <w:pPr>
        <w:spacing w:after="0" w:line="276" w:lineRule="auto"/>
        <w:jc w:val="both"/>
        <w:rPr>
          <w:sz w:val="22"/>
          <w:szCs w:val="22"/>
        </w:rPr>
      </w:pPr>
      <w:r w:rsidRPr="00384FD3">
        <w:rPr>
          <w:sz w:val="22"/>
          <w:szCs w:val="22"/>
          <w:lang w:val="it-IT"/>
        </w:rPr>
        <w:t>4.1. - La giurisprudenza di questa Corte si è consolidata nel senso che l'azione di risarcimento danni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avanzata dagli stretti congiunti di un paziente con problemi psichici ricoverato presso una struttura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sanitaria (pubblica o privata), nel caso in cui l'iniziativa autolesionistica del malato si risolva in un atto</w:t>
      </w:r>
      <w:r>
        <w:rPr>
          <w:sz w:val="22"/>
          <w:szCs w:val="22"/>
          <w:lang w:val="it-IT"/>
        </w:rPr>
        <w:t xml:space="preserve"> </w:t>
      </w:r>
      <w:proofErr w:type="spellStart"/>
      <w:r w:rsidRPr="00384FD3">
        <w:rPr>
          <w:sz w:val="22"/>
          <w:szCs w:val="22"/>
          <w:lang w:val="it-IT"/>
        </w:rPr>
        <w:t>suicidiario</w:t>
      </w:r>
      <w:proofErr w:type="spellEnd"/>
      <w:r w:rsidRPr="00384FD3">
        <w:rPr>
          <w:sz w:val="22"/>
          <w:szCs w:val="22"/>
          <w:lang w:val="it-IT"/>
        </w:rPr>
        <w:t xml:space="preserve"> portato a compimento a causa dell'omessa vigilanza della predetta struttura, debba essere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inquadrata nell'ambito (e nel corrispondente regime probatorio) della responsabilità extracontrattuale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 xml:space="preserve">di cui all'art. </w:t>
      </w:r>
      <w:r w:rsidRPr="00384FD3">
        <w:rPr>
          <w:sz w:val="22"/>
          <w:szCs w:val="22"/>
        </w:rPr>
        <w:t>2043 c.c. (Cass. n. 14258/2020; Cass. n. 14615/2020; Cass. n. 21404/2021; Cass. n. 11320/2022; Cass. n. 13037/2023).</w:t>
      </w:r>
    </w:p>
    <w:p w14:paraId="3B7D90D0" w14:textId="6D845E66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 xml:space="preserve">Con tale pretesa risarcitoria, infatti, il congiunto agisce nei confronti della struttura </w:t>
      </w:r>
      <w:r w:rsidRPr="00384FD3">
        <w:rPr>
          <w:i/>
          <w:iCs/>
          <w:sz w:val="22"/>
          <w:szCs w:val="22"/>
          <w:lang w:val="it-IT"/>
        </w:rPr>
        <w:t>iure proprio</w:t>
      </w:r>
      <w:r w:rsidRPr="00384FD3">
        <w:rPr>
          <w:sz w:val="22"/>
          <w:szCs w:val="22"/>
          <w:lang w:val="it-IT"/>
        </w:rPr>
        <w:t>, al fine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di ottenere il risarcimento del danno da perdita del rapporto parentale conseguente al decesso; non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potrebbe, d'altro lato, configurarsi in capo al primo una pretesa azionabile ex art. 1218 c.c.,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intercorrendo il contratto avente ad oggetto le prestazioni di cura, assistenza e controllo (quale che sia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la sua fonte, privatistica o pubblicistica) esclusivamente tra la struttura e la paziente e al quale,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dunque, egli rimane estraneo.</w:t>
      </w:r>
    </w:p>
    <w:p w14:paraId="02BF3ACE" w14:textId="074A517D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La figura dei "terzi protetti dal contratto" - la sola che, dunque, consentirebbe ad un terzo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(formalmente) estraneo al contratto di agire, ciononostante, ex art. 1218 c.c. per la violazione degli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 xml:space="preserve">obblighi di cura/vigilanza/assistenza - è stata riconosciuta dalla giurisprudenza di questa </w:t>
      </w:r>
      <w:r w:rsidRPr="00384FD3">
        <w:rPr>
          <w:sz w:val="22"/>
          <w:szCs w:val="22"/>
          <w:lang w:val="it-IT"/>
        </w:rPr>
        <w:lastRenderedPageBreak/>
        <w:t>Corte, ma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eccezionalmente limitata alle sole ipotesi nelle quali l'interesse di cui il terzo è portatore, essendo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intimamente connesso all'interesse creditorio così come delineato all'interno del programma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negoziale, è, di fatto, con quest'ultimo, identificato.</w:t>
      </w:r>
    </w:p>
    <w:p w14:paraId="39144698" w14:textId="01D6DCB3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Non a caso, infatti, l'area di applicazione di tale figura è stata essenzialmente limitata al circoscritto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campo delle prestazioni sanitarie afferenti alla procreazione in cui, benché il contratto sia formalmente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concluso tra la sola gestante e la struttura ospedaliera, è configurabile un corrispondente interesse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all'esatta esecuzione della prestazione che forma oggetto di tale rapporto obbligatorio anche in capo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al padre e al nascituro, con la conseguente possibilità, in caso di inadempimento o inesatto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adempimento, di agire ex art. 1218 c.c.</w:t>
      </w:r>
    </w:p>
    <w:p w14:paraId="7FF30CA4" w14:textId="72E66193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 xml:space="preserve">E ciò, in quanto, il rapporto di </w:t>
      </w:r>
      <w:proofErr w:type="spellStart"/>
      <w:r w:rsidRPr="00384FD3">
        <w:rPr>
          <w:i/>
          <w:iCs/>
          <w:sz w:val="22"/>
          <w:szCs w:val="22"/>
          <w:lang w:val="it-IT"/>
        </w:rPr>
        <w:t>proximity</w:t>
      </w:r>
      <w:proofErr w:type="spellEnd"/>
      <w:r w:rsidRPr="00384FD3">
        <w:rPr>
          <w:sz w:val="22"/>
          <w:szCs w:val="22"/>
          <w:lang w:val="it-IT"/>
        </w:rPr>
        <w:t xml:space="preserve"> che intercorre tra la madre, il padre e il nascituro </w:t>
      </w:r>
      <w:r>
        <w:rPr>
          <w:sz w:val="22"/>
          <w:szCs w:val="22"/>
          <w:lang w:val="it-IT"/>
        </w:rPr>
        <w:t>–</w:t>
      </w:r>
      <w:r w:rsidRPr="00384FD3">
        <w:rPr>
          <w:sz w:val="22"/>
          <w:szCs w:val="22"/>
          <w:lang w:val="it-IT"/>
        </w:rPr>
        <w:t xml:space="preserve"> vicinanza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che deve essere vagliata alla luce del concreto interesse alla esecuzione della prestazione ex art. 1174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c.c., così come dedotto in contratto -, consente di ritenere sussistente anche in capo ai secondi un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corrispondente interesse alla esatta esecuzione della prestazione.</w:t>
      </w:r>
    </w:p>
    <w:p w14:paraId="62A3A972" w14:textId="43E0365C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Al di fuori di questa specifica ipotesi, dunque, poiché l'esecuzione della prestazione che forma oggetto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della obbligazione sanitaria non incide direttamente sulla posizione dei terzi, torna applicabile anche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al contratto atipico di spedalità o di assistenza sanitaria la regola generale secondo cui esso ha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efficacia limitata alle parti (art. 1372, secondo comma, c.c.).</w:t>
      </w:r>
    </w:p>
    <w:p w14:paraId="4229850C" w14:textId="0C240096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Del resto, la circostanza che il contenuto della prestazione sia soggetto a criteri legali (oltre che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contrattuali) di determinazione, costituiti in primo luogo dalla buona fede (art. 1175 c.c.) e dalla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diligenza (art. 1176 c.c.), non vale a configurare obbligazioni ulteriori aventi ad oggetto prestazioni di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salvaguardia dei terzi, ma solo a conformare l'oggetto dell'obbligazione in funzione della realizzazione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dell'interesse concreto dedotto nel contratto (Cass. n. 11320/2022).</w:t>
      </w:r>
    </w:p>
    <w:p w14:paraId="1BE63917" w14:textId="3AC6993C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Né in termini contrastanti si pone il precedente di cui alla citata Cass. n. 13037/2023, in cui, dopo aver,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per l'appunto, confermato la natura extracontrattuale della pretesa risarcitoria azionata dallo stretto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congiunto nei confronti della struttura ospedaliera in caso di morte del paziente, ha applicato al caso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sottoposto al suo esame i criteri probatori della responsabilità contrattuale, essendo tale decisione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resa obbligata dall'essersi formato giudicato interno sull'accertamento della responsabilità, in termini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contrattuali, della struttura convenuta.</w:t>
      </w:r>
    </w:p>
    <w:p w14:paraId="38A243E4" w14:textId="30528929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4.2. - Nella specie, la pretesa risarcitoria azionata da A.A., rispondendo al modello generale della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responsabilità extracontrattuale di cui all'art. 2043 c.c., deve essere vagliata secondo i principi che le</w:t>
      </w:r>
      <w:r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sono propri.</w:t>
      </w:r>
    </w:p>
    <w:p w14:paraId="318B451C" w14:textId="216C86C1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Spetta, in particolare, alla parte danneggiata l'onere di dare prova in giudizio di tutti gli elementi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costitutivi della propria pretesa: il fatto illecito da cui deriva il danno ingiusto, il dolo o la colpa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dell'autore del danno e, infine, il danno conseguenza.</w:t>
      </w:r>
    </w:p>
    <w:p w14:paraId="6FC42605" w14:textId="2D3AC167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Sicché, il fatto illecito da cui, secondo la prospettazione attorea, sarebbe derivato l'evento mortale -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violazione di obblighi di vigilanza e di controllo gravanti sulla struttura ospedaliera -avrebbe dovuto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costituire oggetto di specifica prova a carico di A.A.</w:t>
      </w:r>
    </w:p>
    <w:p w14:paraId="415D1C81" w14:textId="60F821F3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Erra, di conseguenza, il ricorrente nella parte in cui, sulla premessa della riconducibilità del fatto al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modello della responsabilità contrattuale ex art. 1218 c.c., afferma che sussisterebbe una presunzione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di inadempimento colposo a carico della struttura, con la conseguenza che sarebbe posto a carico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della struttura sanitaria l'onere di fornire la prova liberatoria e cioè di aver posto in essere tutte le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cautele richieste volte ad evitare che si verificasse l'evento dannoso; nessun inadempimento, ai sensi e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per gli effetti di cui all'art. 1218 c.c., potrebbe, per le considerazioni sin qui svolte, essere configurato, in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astratto prim'ancora che in concreto, rispetto alla posizione di un soggetto rimasto estraneo al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rapporto contrattuale.</w:t>
      </w:r>
    </w:p>
    <w:p w14:paraId="75B5D546" w14:textId="18EAC49B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4.3. - Nella specie, invero, neppure si pone un problema di applicazione della regola residuale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dell'onere di prova (art. 2697 c.c.) - per cui sarebbe ridondata in danno dell'attore la mancata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dimostrazione della violazione, da parte di XYZ, degli obblighi anzidetti nei confronti della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lastRenderedPageBreak/>
        <w:t>ricoverata C.C. - giacché un tale inadempimento contrattuale (costituente, nella sua materialità, il fatto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costitutivo dell'illecito extracontrattuale dedotto in giudizio) è stato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ritenuto insussistente dalla Corte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territoriale (e già in precedenza dal Tribunale) alla luce delle risultanze istruttorie.</w:t>
      </w:r>
    </w:p>
    <w:p w14:paraId="2252524B" w14:textId="60C3B057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In particolare, il giudice di appello ha reputato che: a) i farmaci fossero custoditi adeguatamente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presso la struttura XYZ; b) la misura di prevenzione disposta dal Tribunale di Sorveglianza era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elastica; c) non sussistevano obblighi di monitoraggio continui su C.C., sia in capo alla struttura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ospedaliera, in generale, che in capo a coloro che erano di turno nella notte tra il 23 e il 24 aprile 2004,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in particolare; d) il comportamento autolesionistico della paziente era riconducibile non ad un serio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 xml:space="preserve">intento </w:t>
      </w:r>
      <w:proofErr w:type="spellStart"/>
      <w:r w:rsidRPr="00384FD3">
        <w:rPr>
          <w:sz w:val="22"/>
          <w:szCs w:val="22"/>
          <w:lang w:val="it-IT"/>
        </w:rPr>
        <w:t>suicidiario</w:t>
      </w:r>
      <w:proofErr w:type="spellEnd"/>
      <w:r w:rsidRPr="00384FD3">
        <w:rPr>
          <w:sz w:val="22"/>
          <w:szCs w:val="22"/>
          <w:lang w:val="it-IT"/>
        </w:rPr>
        <w:t>, bensì ad un'esigenza di attenzione; e) l'accesso a due diversi Ospedali era avvenuto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su chiamata di XYZ; f) l'esito degli esami ivi effettuati era "rassicurante"; g) vi erano concrete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difficoltà nel distinguere tra la sintomatologia presentata da C.C. a causa del suo preesistente disagio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psico - fisico e i sintomi aspecifici e generici (così come qualificati dalla CTU disposta in secondo grado)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derivanti da overdose di "</w:t>
      </w:r>
      <w:proofErr w:type="spellStart"/>
      <w:r w:rsidRPr="00384FD3">
        <w:rPr>
          <w:sz w:val="22"/>
          <w:szCs w:val="22"/>
          <w:lang w:val="it-IT"/>
        </w:rPr>
        <w:t>Disipal</w:t>
      </w:r>
      <w:proofErr w:type="spellEnd"/>
      <w:r w:rsidRPr="00384FD3">
        <w:rPr>
          <w:sz w:val="22"/>
          <w:szCs w:val="22"/>
          <w:lang w:val="it-IT"/>
        </w:rPr>
        <w:t>".</w:t>
      </w:r>
    </w:p>
    <w:p w14:paraId="3DBC579C" w14:textId="648F2652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 xml:space="preserve">Ne consegue che, non ravvisandosi (per quanto esposto) i denunciati </w:t>
      </w:r>
      <w:proofErr w:type="spellStart"/>
      <w:r w:rsidRPr="00BA6A5D">
        <w:rPr>
          <w:i/>
          <w:iCs/>
          <w:sz w:val="22"/>
          <w:szCs w:val="22"/>
          <w:lang w:val="it-IT"/>
        </w:rPr>
        <w:t>errores</w:t>
      </w:r>
      <w:proofErr w:type="spellEnd"/>
      <w:r w:rsidRPr="00BA6A5D">
        <w:rPr>
          <w:i/>
          <w:iCs/>
          <w:sz w:val="22"/>
          <w:szCs w:val="22"/>
          <w:lang w:val="it-IT"/>
        </w:rPr>
        <w:t xml:space="preserve"> in iudicando</w:t>
      </w:r>
      <w:r w:rsidRPr="00384FD3">
        <w:rPr>
          <w:sz w:val="22"/>
          <w:szCs w:val="22"/>
          <w:lang w:val="it-IT"/>
        </w:rPr>
        <w:t>, le ulteriori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 xml:space="preserve">doglianze proposte con il motivo in esame, che aggrediscono la </w:t>
      </w:r>
      <w:r w:rsidRPr="00BA6A5D">
        <w:rPr>
          <w:i/>
          <w:iCs/>
          <w:sz w:val="22"/>
          <w:szCs w:val="22"/>
          <w:lang w:val="it-IT"/>
        </w:rPr>
        <w:t xml:space="preserve">quaestio </w:t>
      </w:r>
      <w:proofErr w:type="spellStart"/>
      <w:r w:rsidRPr="00BA6A5D">
        <w:rPr>
          <w:i/>
          <w:iCs/>
          <w:sz w:val="22"/>
          <w:szCs w:val="22"/>
          <w:lang w:val="it-IT"/>
        </w:rPr>
        <w:t>facti</w:t>
      </w:r>
      <w:proofErr w:type="spellEnd"/>
      <w:r w:rsidRPr="00384FD3">
        <w:rPr>
          <w:sz w:val="22"/>
          <w:szCs w:val="22"/>
          <w:lang w:val="it-IT"/>
        </w:rPr>
        <w:t xml:space="preserve"> oggetto di accertamento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rimesso esclusivamente al giudice di merito, sono inammissibili, in quanto il sindacato di questa Corte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è circoscritto, al riguardo, alla delibazione del vizio di cui al n. 5 dell'art. 360 c.p.c. (dedotto soltanto con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il terzo motivo di ricorso).</w:t>
      </w:r>
    </w:p>
    <w:p w14:paraId="7D79E278" w14:textId="77777777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5. - Il secondo motivo è inammissibile.</w:t>
      </w:r>
    </w:p>
    <w:p w14:paraId="52645A4C" w14:textId="0D51E2ED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Tenuto conto, alla luce delle considerazioni svolte in sede di scrutinio del primo motivo, della non</w:t>
      </w:r>
      <w:r w:rsidR="00BA6A5D">
        <w:rPr>
          <w:sz w:val="22"/>
          <w:szCs w:val="22"/>
          <w:lang w:val="it-IT"/>
        </w:rPr>
        <w:t xml:space="preserve"> </w:t>
      </w:r>
      <w:proofErr w:type="spellStart"/>
      <w:r w:rsidRPr="00384FD3">
        <w:rPr>
          <w:sz w:val="22"/>
          <w:szCs w:val="22"/>
          <w:lang w:val="it-IT"/>
        </w:rPr>
        <w:t>ravvisabilità</w:t>
      </w:r>
      <w:proofErr w:type="spellEnd"/>
      <w:r w:rsidRPr="00384FD3">
        <w:rPr>
          <w:sz w:val="22"/>
          <w:szCs w:val="22"/>
          <w:lang w:val="it-IT"/>
        </w:rPr>
        <w:t xml:space="preserve"> dei dedotti </w:t>
      </w:r>
      <w:proofErr w:type="spellStart"/>
      <w:r w:rsidRPr="00BA6A5D">
        <w:rPr>
          <w:i/>
          <w:iCs/>
          <w:sz w:val="22"/>
          <w:szCs w:val="22"/>
          <w:lang w:val="it-IT"/>
        </w:rPr>
        <w:t>errores</w:t>
      </w:r>
      <w:proofErr w:type="spellEnd"/>
      <w:r w:rsidRPr="00BA6A5D">
        <w:rPr>
          <w:i/>
          <w:iCs/>
          <w:sz w:val="22"/>
          <w:szCs w:val="22"/>
          <w:lang w:val="it-IT"/>
        </w:rPr>
        <w:t xml:space="preserve"> in iudicando</w:t>
      </w:r>
      <w:r w:rsidRPr="00384FD3">
        <w:rPr>
          <w:sz w:val="22"/>
          <w:szCs w:val="22"/>
          <w:lang w:val="it-IT"/>
        </w:rPr>
        <w:t xml:space="preserve"> nella decisione della Corte territoriale, le critiche svolte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con il motivo in esame, al fine di denunciare la sussistenza in capo alla struttura di cura di specifici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obblighi di vigilanza e di assistenza, prospettano una inammissibile ricostruzione del fatto alternativa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rispetto a quella fatta propria dal giudice di merito.</w:t>
      </w:r>
    </w:p>
    <w:p w14:paraId="7DC41ACB" w14:textId="0C529306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Il ricorrente ha sostenuto, infatti, l'esistenza in capo ad XYZ di un obbligo continuativo di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monitoraggio su C.C. prima e anche durante i vari accessi ai due Ospedali, nonché uno specifico obbligo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in capo all'infermiere di turno, nella notte tra il 23 e il 24 Aprile 2001, di monitorare continuamente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l'assistita al punto da verificare se quella condizione di "forte russare" - dichiarata dall'infermiere nel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giudizio di primo grado - fosse invece espressione di una situazione di disagio fisico della paziente tale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da necessitare un tempestivo intervento medico.</w:t>
      </w:r>
    </w:p>
    <w:p w14:paraId="7E45F556" w14:textId="73078C39" w:rsidR="00384FD3" w:rsidRPr="00BA6A5D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Una prospettazione, dunque, che confligge con la corretta deduzione del vizio di cui al n. 3 dell'art. 360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c.p.c. in guisa di c.d. vizio di sussunzione, quale censura che, infatti, non può che essere costruita se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non assumendo l'accertamento di fatto, così come operato dal giudice del merito, in guisa di termine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obbligato, indefettibile e non modificabile del sillogismo tipico del paradigma dell'operazione giuridica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di sussunzione, là dove, diversamente - ossia ponendo in discussione detto accertamento -, si verrebbe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 xml:space="preserve">a trasmodare nella revisione della </w:t>
      </w:r>
      <w:r w:rsidRPr="00BA6A5D">
        <w:rPr>
          <w:i/>
          <w:iCs/>
          <w:sz w:val="22"/>
          <w:szCs w:val="22"/>
          <w:lang w:val="it-IT"/>
        </w:rPr>
        <w:t xml:space="preserve">quaestio </w:t>
      </w:r>
      <w:proofErr w:type="spellStart"/>
      <w:r w:rsidRPr="00BA6A5D">
        <w:rPr>
          <w:i/>
          <w:iCs/>
          <w:sz w:val="22"/>
          <w:szCs w:val="22"/>
          <w:lang w:val="it-IT"/>
        </w:rPr>
        <w:t>facti</w:t>
      </w:r>
      <w:proofErr w:type="spellEnd"/>
      <w:r w:rsidRPr="00384FD3">
        <w:rPr>
          <w:sz w:val="22"/>
          <w:szCs w:val="22"/>
          <w:lang w:val="it-IT"/>
        </w:rPr>
        <w:t xml:space="preserve"> e, dunque, ad esercitarsi poteri di cognizione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esclusivamente riservati al giudice del merito (cfr. in tale prospettiva, tra le altre, Cass. n. 18715/2016;</w:t>
      </w:r>
      <w:r w:rsidR="00BA6A5D">
        <w:rPr>
          <w:sz w:val="22"/>
          <w:szCs w:val="22"/>
          <w:lang w:val="it-IT"/>
        </w:rPr>
        <w:t xml:space="preserve"> </w:t>
      </w:r>
      <w:r w:rsidRPr="00BA6A5D">
        <w:rPr>
          <w:sz w:val="22"/>
          <w:szCs w:val="22"/>
          <w:lang w:val="it-IT"/>
        </w:rPr>
        <w:t>Cass. n. 3965/2017; Cass. n. 6035/2018; Cass. n. 21951/2023).</w:t>
      </w:r>
    </w:p>
    <w:p w14:paraId="37D9B95C" w14:textId="569A5D6C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È dunque estraneo alla denuncia del vizio di sussunzione ogni critica che investe la ricostruzione e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l'accertamento del fatto materiale, da cui, invece, nella sua portata, come giudizialmente definita, deve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muovere la censura di erronea riconduzione di esso alla norma di riferimento.</w:t>
      </w:r>
    </w:p>
    <w:p w14:paraId="36A8C707" w14:textId="77777777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6. - Il terzo motivo è inammissibile.</w:t>
      </w:r>
    </w:p>
    <w:p w14:paraId="2C8E53AE" w14:textId="344308F6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Alla luce della giurisprudenza di questa Corte, nell'ipotesi di doppia conforme di cui all'art. 348</w:t>
      </w:r>
      <w:r w:rsidR="00BA6A5D">
        <w:rPr>
          <w:sz w:val="22"/>
          <w:szCs w:val="22"/>
          <w:lang w:val="it-IT"/>
        </w:rPr>
        <w:t>-</w:t>
      </w:r>
      <w:r w:rsidR="00BA6A5D">
        <w:rPr>
          <w:i/>
          <w:iCs/>
          <w:sz w:val="22"/>
          <w:szCs w:val="22"/>
          <w:lang w:val="it-IT"/>
        </w:rPr>
        <w:t>ter</w:t>
      </w:r>
      <w:r w:rsidR="00BA6A5D">
        <w:rPr>
          <w:sz w:val="22"/>
          <w:szCs w:val="22"/>
          <w:lang w:val="it-IT"/>
        </w:rPr>
        <w:t xml:space="preserve">, </w:t>
      </w:r>
      <w:r w:rsidRPr="00384FD3">
        <w:rPr>
          <w:sz w:val="22"/>
          <w:szCs w:val="22"/>
          <w:lang w:val="it-IT"/>
        </w:rPr>
        <w:t>quinto comma, c.p.c., è onere del ricorrente, a pena di inammissibilità del ricorso, indicare le ragioni di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fatto poste a base della decisione di primo grado e del rigetto dell'appello dimostrando che sono tra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loro differenti (tra le altre: Cass. n. 5947/2023; Cass. n. 26934/2023).</w:t>
      </w:r>
    </w:p>
    <w:p w14:paraId="6389DC11" w14:textId="3709EA04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lastRenderedPageBreak/>
        <w:t>Onere che il ricorrente non ha assolto, mancando di dare contezza di quale sia stato l'</w:t>
      </w:r>
      <w:r w:rsidRPr="00BA6A5D">
        <w:rPr>
          <w:i/>
          <w:iCs/>
          <w:sz w:val="22"/>
          <w:szCs w:val="22"/>
          <w:lang w:val="it-IT"/>
        </w:rPr>
        <w:t>iter</w:t>
      </w:r>
      <w:r w:rsidR="00BA6A5D">
        <w:rPr>
          <w:i/>
          <w:iCs/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argomentativo seguito del primo giudice, nonostante la Corte territoriale abbia integralmente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confermato la relativa decisione, ad essa facendo sovente riferimento.</w:t>
      </w:r>
    </w:p>
    <w:p w14:paraId="42430C9F" w14:textId="3A47909E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Peraltro, pur restando assorbente tale rilievo, varrà evidenziare che la doglianza - che si relaziona al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terzo motivo di gravame, con cui l'appellante instava per l'ammissione di CTU, richiesta accolta dal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 xml:space="preserve">giudice di secondo grado - si snoda, inammissibilmente, attraverso una ricostruzione della </w:t>
      </w:r>
      <w:r w:rsidRPr="00BA6A5D">
        <w:rPr>
          <w:i/>
          <w:iCs/>
          <w:sz w:val="22"/>
          <w:szCs w:val="22"/>
          <w:lang w:val="it-IT"/>
        </w:rPr>
        <w:t>quaestio</w:t>
      </w:r>
      <w:r w:rsidR="00BA6A5D" w:rsidRPr="00BA6A5D">
        <w:rPr>
          <w:i/>
          <w:iCs/>
          <w:sz w:val="22"/>
          <w:szCs w:val="22"/>
          <w:lang w:val="it-IT"/>
        </w:rPr>
        <w:t xml:space="preserve"> </w:t>
      </w:r>
      <w:proofErr w:type="spellStart"/>
      <w:r w:rsidRPr="00BA6A5D">
        <w:rPr>
          <w:i/>
          <w:iCs/>
          <w:sz w:val="22"/>
          <w:szCs w:val="22"/>
          <w:lang w:val="it-IT"/>
        </w:rPr>
        <w:t>facti</w:t>
      </w:r>
      <w:proofErr w:type="spellEnd"/>
      <w:r w:rsidRPr="00384FD3">
        <w:rPr>
          <w:sz w:val="22"/>
          <w:szCs w:val="22"/>
          <w:lang w:val="it-IT"/>
        </w:rPr>
        <w:t xml:space="preserve"> con esiti alternativi a quelli cui è giunta la Corte territoriale, la quale, a partire dal medesimo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corredo probatorio a disposizione del Tribunale, rafforzato dalla espletata CTU, ha concluso, a monte,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per la insussistenza della responsabilità della struttura, non essendovi in capo alla stessa (per il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tramite dei suoi ausiliari) né uno specifico un obbligo di monitorare C.C. la notte tra il 24 e 25 aprile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2004, in considerazione degli esiti rassicuranti sulle sue condizioni fisiche presso gli ospedali cui aveva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nei giorni precedenti effettuato l'accesso, né tantomeno (quand'anche ci si fosse accorti del malessere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di C.C.) la possibilità di distinguere tra il disagio psicofisico discendente dalle sue preesistenti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patologie e i sintomi, generici e aspecifici, derivanti da overdose del farmaco "</w:t>
      </w:r>
      <w:proofErr w:type="spellStart"/>
      <w:r w:rsidRPr="00384FD3">
        <w:rPr>
          <w:sz w:val="22"/>
          <w:szCs w:val="22"/>
          <w:lang w:val="it-IT"/>
        </w:rPr>
        <w:t>Disipal</w:t>
      </w:r>
      <w:proofErr w:type="spellEnd"/>
      <w:r w:rsidRPr="00384FD3">
        <w:rPr>
          <w:sz w:val="22"/>
          <w:szCs w:val="22"/>
          <w:lang w:val="it-IT"/>
        </w:rPr>
        <w:t>".</w:t>
      </w:r>
    </w:p>
    <w:p w14:paraId="63A24ABF" w14:textId="6BB40785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7. - Il ricorso va, dunque, rigettato e il ricorrente condannato al pagamento delle spese del giudizio di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legittimità, come liquidate in dispositivo.</w:t>
      </w:r>
    </w:p>
    <w:p w14:paraId="641A5EE5" w14:textId="77777777" w:rsidR="00384FD3" w:rsidRPr="00BA6A5D" w:rsidRDefault="00384FD3" w:rsidP="00BA6A5D">
      <w:pPr>
        <w:spacing w:after="0" w:line="276" w:lineRule="auto"/>
        <w:jc w:val="center"/>
        <w:rPr>
          <w:b/>
          <w:bCs/>
          <w:lang w:val="it-IT"/>
        </w:rPr>
      </w:pPr>
      <w:r w:rsidRPr="00BA6A5D">
        <w:rPr>
          <w:b/>
          <w:bCs/>
          <w:lang w:val="it-IT"/>
        </w:rPr>
        <w:t>P.Q.M.</w:t>
      </w:r>
    </w:p>
    <w:p w14:paraId="6C5FADAB" w14:textId="2AFD1F81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rigetta il ricorso e condanna il ricorrente al pagamento, in favore della parte controricorrente, delle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 xml:space="preserve">spese del giudizio di legittimità, che liquida in </w:t>
      </w:r>
      <w:proofErr w:type="gramStart"/>
      <w:r w:rsidRPr="00384FD3">
        <w:rPr>
          <w:sz w:val="22"/>
          <w:szCs w:val="22"/>
          <w:lang w:val="it-IT"/>
        </w:rPr>
        <w:t>Euro</w:t>
      </w:r>
      <w:proofErr w:type="gramEnd"/>
      <w:r w:rsidRPr="00384FD3">
        <w:rPr>
          <w:sz w:val="22"/>
          <w:szCs w:val="22"/>
          <w:lang w:val="it-IT"/>
        </w:rPr>
        <w:t xml:space="preserve"> 2.200,00 per compensi, oltre alle spese forfettarie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nella misura del 15 per cento, agli esborsi liquidati in euro 200,00, ed agli accessori di legge.</w:t>
      </w:r>
    </w:p>
    <w:p w14:paraId="7740A88B" w14:textId="59FB7771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Ai sensi dell'art. 13 comma 1</w:t>
      </w:r>
      <w:r w:rsidR="00BA6A5D">
        <w:rPr>
          <w:sz w:val="22"/>
          <w:szCs w:val="22"/>
          <w:lang w:val="it-IT"/>
        </w:rPr>
        <w:t>-</w:t>
      </w:r>
      <w:r w:rsidRPr="00BA6A5D">
        <w:rPr>
          <w:i/>
          <w:iCs/>
          <w:sz w:val="22"/>
          <w:szCs w:val="22"/>
          <w:lang w:val="it-IT"/>
        </w:rPr>
        <w:t>quater</w:t>
      </w:r>
      <w:r w:rsidRPr="00384FD3">
        <w:rPr>
          <w:sz w:val="22"/>
          <w:szCs w:val="22"/>
          <w:lang w:val="it-IT"/>
        </w:rPr>
        <w:t xml:space="preserve"> del d.P.R. n. 115 del 2002 , inserito dall'art. 1, comma 17 della l. n. 228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del 2012, dà atto della sussistenza dei presupposti per il versamento, da parte del ricorrente,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dell'ulteriore importo a titolo di contributo unificato pari a quello dovuto per il ricorso, a norma del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comma 1</w:t>
      </w:r>
      <w:r w:rsidR="00BA6A5D">
        <w:rPr>
          <w:sz w:val="22"/>
          <w:szCs w:val="22"/>
          <w:lang w:val="it-IT"/>
        </w:rPr>
        <w:t>-</w:t>
      </w:r>
      <w:r w:rsidRPr="00BA6A5D">
        <w:rPr>
          <w:i/>
          <w:iCs/>
          <w:sz w:val="22"/>
          <w:szCs w:val="22"/>
          <w:lang w:val="it-IT"/>
        </w:rPr>
        <w:t>bis</w:t>
      </w:r>
      <w:r w:rsidRPr="00384FD3">
        <w:rPr>
          <w:sz w:val="22"/>
          <w:szCs w:val="22"/>
          <w:lang w:val="it-IT"/>
        </w:rPr>
        <w:t>, dello stesso articolo 13, se dovuto.</w:t>
      </w:r>
    </w:p>
    <w:p w14:paraId="068ECFBD" w14:textId="77777777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Dispone che, in caso di utilizzazione del presente provvedimento in qualsiasi forma, sia omessa</w:t>
      </w:r>
    </w:p>
    <w:p w14:paraId="2FC44739" w14:textId="77777777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l'indicazione delle generalità e degli altri dati identificativi di C.C., ivi riportati.</w:t>
      </w:r>
    </w:p>
    <w:p w14:paraId="17ED2D14" w14:textId="77777777" w:rsidR="00384FD3" w:rsidRPr="00BA6A5D" w:rsidRDefault="00384FD3" w:rsidP="00BA6A5D">
      <w:pPr>
        <w:spacing w:after="0" w:line="276" w:lineRule="auto"/>
        <w:jc w:val="center"/>
        <w:rPr>
          <w:b/>
          <w:bCs/>
          <w:sz w:val="22"/>
          <w:szCs w:val="22"/>
          <w:lang w:val="it-IT"/>
        </w:rPr>
      </w:pPr>
      <w:r w:rsidRPr="00BA6A5D">
        <w:rPr>
          <w:b/>
          <w:bCs/>
          <w:sz w:val="22"/>
          <w:szCs w:val="22"/>
          <w:lang w:val="it-IT"/>
        </w:rPr>
        <w:t>Conclusione</w:t>
      </w:r>
    </w:p>
    <w:p w14:paraId="13DDBC49" w14:textId="76F373E3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Così deciso in Roma, nella camera di consiglio della Terza Sezione civile della Corte Suprema di</w:t>
      </w:r>
      <w:r w:rsidR="00BA6A5D">
        <w:rPr>
          <w:sz w:val="22"/>
          <w:szCs w:val="22"/>
          <w:lang w:val="it-IT"/>
        </w:rPr>
        <w:t xml:space="preserve"> </w:t>
      </w:r>
      <w:r w:rsidRPr="00384FD3">
        <w:rPr>
          <w:sz w:val="22"/>
          <w:szCs w:val="22"/>
          <w:lang w:val="it-IT"/>
        </w:rPr>
        <w:t>cassazione, in data 26 febbraio 2024.</w:t>
      </w:r>
    </w:p>
    <w:p w14:paraId="3D59AA86" w14:textId="4E50D983" w:rsidR="00384FD3" w:rsidRPr="00384FD3" w:rsidRDefault="00384FD3" w:rsidP="00BA6A5D">
      <w:pPr>
        <w:spacing w:after="0" w:line="276" w:lineRule="auto"/>
        <w:jc w:val="both"/>
        <w:rPr>
          <w:sz w:val="22"/>
          <w:szCs w:val="22"/>
          <w:lang w:val="it-IT"/>
        </w:rPr>
      </w:pPr>
      <w:r w:rsidRPr="00384FD3">
        <w:rPr>
          <w:sz w:val="22"/>
          <w:szCs w:val="22"/>
          <w:lang w:val="it-IT"/>
        </w:rPr>
        <w:t>Depositato in Cancelleria il 26 marzo 2024.</w:t>
      </w:r>
    </w:p>
    <w:sectPr w:rsidR="00384FD3" w:rsidRPr="00384FD3" w:rsidSect="003806CC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D3"/>
    <w:rsid w:val="003806CC"/>
    <w:rsid w:val="00384FD3"/>
    <w:rsid w:val="005E145F"/>
    <w:rsid w:val="00986938"/>
    <w:rsid w:val="00A32374"/>
    <w:rsid w:val="00BA6A5D"/>
    <w:rsid w:val="00C263C5"/>
    <w:rsid w:val="00EA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A202"/>
  <w15:chartTrackingRefBased/>
  <w15:docId w15:val="{0A82ABEE-B55C-4941-82AD-B0EB0643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84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4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4F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4F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4F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4FD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4FD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4FD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4FD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4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4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4FD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4FD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4FD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4FD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4FD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4FD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4FD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84F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84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4FD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4FD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84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84FD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84FD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84FD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84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84FD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84F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3387</Words>
  <Characters>19311</Characters>
  <Application>Microsoft Office Word</Application>
  <DocSecurity>0</DocSecurity>
  <Lines>160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Biancardi</dc:creator>
  <cp:keywords/>
  <dc:description/>
  <cp:lastModifiedBy>Stefano Rossi</cp:lastModifiedBy>
  <cp:revision>2</cp:revision>
  <dcterms:created xsi:type="dcterms:W3CDTF">2024-04-18T18:41:00Z</dcterms:created>
  <dcterms:modified xsi:type="dcterms:W3CDTF">2024-04-18T18:41:00Z</dcterms:modified>
</cp:coreProperties>
</file>